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Electronic Records and Certificates a matter requiring interim protection</w:t>
      </w:r>
    </w:p>
    <w:p>
      <w:pPr>
        <w:spacing w:before="0" w:after="160" w:line="269" w:lineRule="auto"/>
        <w:jc w:val="center"/>
      </w:pPr>
      <w:r>
        <w:rPr>
          <w:rFonts w:ascii="Times New Roman" w:hAnsi="Times New Roman"/>
          <w:b w:val="0"/>
          <w:i w:val="0"/>
          <w:color w:val="000000"/>
          <w:sz w:val="18"/>
        </w:rPr>
        <w:t>BSA Law drafts  |  Electronic Records and Certificates  |  Resource ID LAW-03-01-071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LAW-03-01-071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Electronic Records and Certificates a matter requiring interim protection</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